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DF" w:rsidRDefault="00CA5EDF" w:rsidP="00D92AD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>
        <w:rPr>
          <w:rFonts w:asciiTheme="minorHAnsi" w:hAnsiTheme="minorHAnsi" w:cstheme="minorHAnsi"/>
          <w:sz w:val="20"/>
          <w:szCs w:val="20"/>
        </w:rPr>
        <w:t xml:space="preserve"> DLA PRZESIĘWZIĘCIA</w:t>
      </w:r>
    </w:p>
    <w:p w:rsidR="00CA5EDF" w:rsidRPr="00F053F8" w:rsidRDefault="00CA5EDF" w:rsidP="00D92AD6">
      <w:pPr>
        <w:pStyle w:val="Tekstpodstawowy"/>
        <w:spacing w:after="0"/>
        <w:rPr>
          <w:rFonts w:asciiTheme="minorHAnsi" w:hAnsiTheme="minorHAnsi" w:cstheme="minorHAnsi"/>
          <w:b/>
          <w:iCs/>
          <w:sz w:val="20"/>
          <w:szCs w:val="20"/>
        </w:rPr>
      </w:pPr>
      <w:r w:rsidRPr="00F053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Przedsięwzięcie 2.1 R</w:t>
      </w:r>
      <w:r w:rsidRPr="00F053F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ozwijanie działalności gospodarczej w zakresie turystyki, rekreacji i wypoczynku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A56F36" w:rsidRPr="00AE0D44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Złożony wniosek jest kompletny i zawiera wymagane dokumenty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Operacja jest innowacyjna zgodnie z definicją i zakresem przyjętym w LSR oraz na jej wprowadzenie zaplanowano koszty w budżecie </w:t>
            </w:r>
          </w:p>
          <w:p w:rsidR="00A56F36" w:rsidRPr="00E90886" w:rsidRDefault="00A56F36" w:rsidP="00A85D39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Innowacja dotyczy:</w:t>
            </w:r>
          </w:p>
          <w:p w:rsidR="00A56F36" w:rsidRPr="00E90886" w:rsidRDefault="00A56F36" w:rsidP="00A85D39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56F3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regionu LGD</w:t>
            </w:r>
          </w:p>
          <w:p w:rsidR="00A56F36" w:rsidRPr="00E90886" w:rsidRDefault="00A56F36" w:rsidP="00A85D39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56F3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gminy</w:t>
            </w:r>
          </w:p>
          <w:p w:rsidR="00A56F36" w:rsidRPr="00E90886" w:rsidRDefault="00A56F36" w:rsidP="00A85D39">
            <w:p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56F3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brak innowacji</w:t>
            </w:r>
          </w:p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:rsidR="00A56F36" w:rsidRPr="00E90886" w:rsidRDefault="00A56F36" w:rsidP="00A56F3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wprowadzeniu na rynek </w:t>
            </w: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nowej usługi, produktu, technologii lub realizacji operacji w nowym sposobie zaangażowania społeczności lokalnej,</w:t>
            </w:r>
          </w:p>
          <w:p w:rsidR="00A56F36" w:rsidRPr="00E90886" w:rsidRDefault="00A56F36" w:rsidP="00A56F3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nowatorskim wykorzystaniu lokalnych surowców, zasobów, w tym także kulturowych, historycznych, przyrodniczych i ludzkich,</w:t>
            </w:r>
          </w:p>
          <w:p w:rsidR="00A56F36" w:rsidRPr="00E90886" w:rsidRDefault="00A56F36" w:rsidP="00A56F3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społeczno</w:t>
            </w:r>
            <w:proofErr w:type="spellEnd"/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gospodarczego.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Operacja przewiduje zastosowanie rozwiązań zapewniających racjonalne gospodarowanie zasobami lub ograniczających presję na środowisko.</w:t>
            </w:r>
          </w:p>
          <w:p w:rsidR="00A56F36" w:rsidRPr="00E90886" w:rsidRDefault="00A56F36" w:rsidP="00A85D39">
            <w:pPr>
              <w:pStyle w:val="Akapitzlist"/>
              <w:ind w:left="36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rozstrzygające 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spełnione, jeśli operacja przewiduje zastosowanie rozwiązań umożliwiających 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efektywne gospodarowanie zasobami naturalnymi oraz ograniczenie negatywnego wpływu na środowisko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. Inicjatywy powinny przyczyniać się do zrównoważonego wykorzystania surowców, ochrony ekosystemów oraz minimalizacji wytwarzania odpadów i emisji zanieczyszczeń.</w:t>
            </w:r>
          </w:p>
          <w:p w:rsidR="00A56F36" w:rsidRPr="00E90886" w:rsidRDefault="00A56F36" w:rsidP="00A85D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Premiowane będą działania mające na celu: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 energii – wdrażanie syst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mów zarządzania energią, izolacja budynków, stos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wanie energooszczędnych technologii.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 wody – zbieranie i wyk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="009D247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rzystywanie deszczówki.</w:t>
            </w:r>
            <w:bookmarkStart w:id="0" w:name="_GoBack"/>
            <w:bookmarkEnd w:id="0"/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Minimalizację odpadów – stosowanie materiałów biodegradowalnych, ogr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niczenie plastiku, recykling i ponowne wykorzystanie surowców.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Ochronę lokalnych ekosy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temów – działania na rzecz zachowania siedlisk prz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y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rodniczych, adaptacja przestrzeni w sposób sprzyjający naturze.</w:t>
            </w:r>
          </w:p>
          <w:p w:rsidR="00A56F36" w:rsidRPr="00E90886" w:rsidRDefault="00A56F36" w:rsidP="00A56F36">
            <w:pPr>
              <w:numPr>
                <w:ilvl w:val="0"/>
                <w:numId w:val="47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Edukację z zakresu ekologii i przeciwdziałania zmi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nom klimatu np. warsztaty, lekcje plenerowe, tworz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nie tras edukacyjnych, kampanie informacyjne.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Spełnienie kryterium będzie oceniane na podstawie informacji zawartych we wniosku o przyznanie pomocy, w tym planu gospodarowania zasobami, działań edukacyjnych oraz ich wpływu na środowisko i mieszkańców oraz turystów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Operacja wykorzystuje lokalne zasoby przyrodnicze, kulturowe, historyczne lub kulinarne.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pStyle w:val="Zawartotabeli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Kryterium uznaje się za spełnione, jeżeli wnioskodawca zaplanował w ramach realizowanej operacji wykorzystanie zasobów:</w:t>
            </w:r>
          </w:p>
          <w:p w:rsidR="00A56F36" w:rsidRPr="00E90886" w:rsidRDefault="00A56F36" w:rsidP="00A85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- przyrodniczych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obszary o wyjątkowych walorach krajobrazowych, parki krajobrazowe, obszary chronione, szlaki turystyczne, lokalna flora i fauna</w:t>
            </w:r>
          </w:p>
          <w:p w:rsidR="00A56F36" w:rsidRPr="00E90886" w:rsidRDefault="00A56F36" w:rsidP="00A56F3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kulturowe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tradycje regionalne, rzemiosło artystyczne, folklor, wydarzenia kulturalne, architektura ludowa.</w:t>
            </w:r>
          </w:p>
          <w:p w:rsidR="00A56F36" w:rsidRPr="00E90886" w:rsidRDefault="00A56F36" w:rsidP="00A56F3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historyczne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zabytki, miejsca o znaczeniu historycznym, rekonstrukcje historyczne, opowieści związane z lokalnymi wydarzeniami.</w:t>
            </w:r>
          </w:p>
          <w:p w:rsidR="00A56F36" w:rsidRPr="00E90886" w:rsidRDefault="00A56F36" w:rsidP="00A56F36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kulinarne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regionalne potrawy, produkty tradycyjne, lokalne receptury, warsztaty kulinarne, gospodarstwa produkujące żywność ekologiczną.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Spełnienie kryterium będzie oceniane na podstawie informacji zawartych we wniosku o przyznanie pomocy. Weryfikacja będzie podlegał o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pis sposobu wykorzystania zasobów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w ramach operacji, z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akres planowanych działań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promujących i integrujących lokalne zasoby, w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pływ operacji na rozwój turystyki, edukacji lub gospodarki regionalnej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Wnioskodawca powinien wskazać konkretne zasoby lokalne, które zostaną wykorzystane oraz opisać w jaki sposób zostaną one wykorzystane w projekcie.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36" w:rsidRPr="00E90886" w:rsidRDefault="00A56F36" w:rsidP="00A56F3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Wnioskodawca prowadzi działalność na obszarze LGD powyżej 24 miesięcy poprzedzających dzień złożenia wniosku.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36" w:rsidRPr="00E90886" w:rsidRDefault="00A56F36" w:rsidP="00A85D3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36" w:rsidRPr="00E90886" w:rsidRDefault="00A56F36" w:rsidP="00A85D39">
            <w:pPr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Kryterium uznaje się za spełnione jeżeli wnioskodawca potwierdzi spełnienie warunku poprzez przedłożenie dokumentów potwierdzających prowadzenie działalności powyżej 24 miesięcy.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W ramach realizacji operacji zaplanowano działania informacyjne oraz promocyjne o źródłach finansowania operacji.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y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wające na zwiększenie rozp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znawalności obszaru LGD i wskazujące źródła finansow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nia działań.</w:t>
            </w:r>
          </w:p>
          <w:p w:rsidR="00A56F36" w:rsidRPr="00E90886" w:rsidRDefault="00A56F36" w:rsidP="00A85D3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 formę promocji uważa się: np. informację na temat real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i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zacji inną niż plakat informacy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</w:t>
            </w: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ny zamieszczoną w Internecie, informację prasową, film itp.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 księgi wizualizacji nie  podlegają ocenie i przyznaniu punktów w kryterium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6F36" w:rsidRPr="00E90886" w:rsidRDefault="00A56F36" w:rsidP="00A56F36">
      <w:pPr>
        <w:pStyle w:val="Tekstpodstawowy"/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b/>
                <w:sz w:val="20"/>
                <w:szCs w:val="20"/>
              </w:rPr>
              <w:t>………... pkt.</w:t>
            </w:r>
          </w:p>
        </w:tc>
      </w:tr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6F36" w:rsidRPr="00E90886" w:rsidRDefault="00A56F36" w:rsidP="00A56F36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t>Oceniający:</w:t>
      </w:r>
      <w:r w:rsidRPr="00E9088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E90886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E90886">
        <w:rPr>
          <w:rFonts w:asciiTheme="minorHAnsi" w:hAnsiTheme="minorHAnsi" w:cstheme="minorHAnsi"/>
          <w:sz w:val="20"/>
          <w:szCs w:val="20"/>
        </w:rPr>
        <w:tab/>
      </w:r>
      <w:r w:rsidRPr="00E90886">
        <w:rPr>
          <w:rFonts w:asciiTheme="minorHAnsi" w:hAnsiTheme="minorHAnsi" w:cstheme="minorHAnsi"/>
          <w:sz w:val="20"/>
          <w:szCs w:val="20"/>
        </w:rPr>
        <w:tab/>
      </w: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sectPr w:rsidR="00E90886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8.5pt;visibility:visible;mso-wrap-style:square" o:bullet="t">
        <v:imagedata r:id="rId1" o:title=""/>
      </v:shape>
    </w:pict>
  </w:numPicBullet>
  <w:abstractNum w:abstractNumId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2"/>
  </w:num>
  <w:num w:numId="9">
    <w:abstractNumId w:val="47"/>
  </w:num>
  <w:num w:numId="10">
    <w:abstractNumId w:val="38"/>
  </w:num>
  <w:num w:numId="11">
    <w:abstractNumId w:val="41"/>
  </w:num>
  <w:num w:numId="12">
    <w:abstractNumId w:val="44"/>
  </w:num>
  <w:num w:numId="13">
    <w:abstractNumId w:val="13"/>
  </w:num>
  <w:num w:numId="14">
    <w:abstractNumId w:val="8"/>
  </w:num>
  <w:num w:numId="15">
    <w:abstractNumId w:val="3"/>
  </w:num>
  <w:num w:numId="16">
    <w:abstractNumId w:val="19"/>
  </w:num>
  <w:num w:numId="17">
    <w:abstractNumId w:val="5"/>
  </w:num>
  <w:num w:numId="18">
    <w:abstractNumId w:val="30"/>
  </w:num>
  <w:num w:numId="19">
    <w:abstractNumId w:val="27"/>
  </w:num>
  <w:num w:numId="20">
    <w:abstractNumId w:val="18"/>
  </w:num>
  <w:num w:numId="21">
    <w:abstractNumId w:val="36"/>
  </w:num>
  <w:num w:numId="22">
    <w:abstractNumId w:val="28"/>
  </w:num>
  <w:num w:numId="23">
    <w:abstractNumId w:val="32"/>
  </w:num>
  <w:num w:numId="24">
    <w:abstractNumId w:val="43"/>
  </w:num>
  <w:num w:numId="25">
    <w:abstractNumId w:val="24"/>
  </w:num>
  <w:num w:numId="26">
    <w:abstractNumId w:val="12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 w:numId="30">
    <w:abstractNumId w:val="45"/>
  </w:num>
  <w:num w:numId="31">
    <w:abstractNumId w:val="6"/>
  </w:num>
  <w:num w:numId="32">
    <w:abstractNumId w:val="37"/>
  </w:num>
  <w:num w:numId="33">
    <w:abstractNumId w:val="0"/>
  </w:num>
  <w:num w:numId="34">
    <w:abstractNumId w:val="23"/>
  </w:num>
  <w:num w:numId="35">
    <w:abstractNumId w:val="39"/>
  </w:num>
  <w:num w:numId="36">
    <w:abstractNumId w:val="10"/>
  </w:num>
  <w:num w:numId="37">
    <w:abstractNumId w:val="2"/>
  </w:num>
  <w:num w:numId="38">
    <w:abstractNumId w:val="20"/>
  </w:num>
  <w:num w:numId="39">
    <w:abstractNumId w:val="11"/>
  </w:num>
  <w:num w:numId="40">
    <w:abstractNumId w:val="25"/>
  </w:num>
  <w:num w:numId="41">
    <w:abstractNumId w:val="1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4"/>
  </w:num>
  <w:num w:numId="45">
    <w:abstractNumId w:val="46"/>
  </w:num>
  <w:num w:numId="46">
    <w:abstractNumId w:val="31"/>
  </w:num>
  <w:num w:numId="47">
    <w:abstractNumId w:val="40"/>
  </w:num>
  <w:num w:numId="48">
    <w:abstractNumId w:val="29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03598C"/>
    <w:rsid w:val="000F064D"/>
    <w:rsid w:val="000F3B75"/>
    <w:rsid w:val="00101DA0"/>
    <w:rsid w:val="001076F4"/>
    <w:rsid w:val="00112624"/>
    <w:rsid w:val="0011545A"/>
    <w:rsid w:val="00122452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D145B"/>
    <w:rsid w:val="003D3076"/>
    <w:rsid w:val="003D4729"/>
    <w:rsid w:val="003D6B2A"/>
    <w:rsid w:val="0041128D"/>
    <w:rsid w:val="00440FF6"/>
    <w:rsid w:val="00443C98"/>
    <w:rsid w:val="00462833"/>
    <w:rsid w:val="00467C84"/>
    <w:rsid w:val="00473314"/>
    <w:rsid w:val="00493832"/>
    <w:rsid w:val="00497E52"/>
    <w:rsid w:val="004A2141"/>
    <w:rsid w:val="004B75BA"/>
    <w:rsid w:val="004F3F52"/>
    <w:rsid w:val="0050150A"/>
    <w:rsid w:val="005018A0"/>
    <w:rsid w:val="005028EC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D2473"/>
    <w:rsid w:val="009F773A"/>
    <w:rsid w:val="00A56F36"/>
    <w:rsid w:val="00AD1562"/>
    <w:rsid w:val="00AE0D44"/>
    <w:rsid w:val="00AE62A9"/>
    <w:rsid w:val="00B15EF4"/>
    <w:rsid w:val="00B24235"/>
    <w:rsid w:val="00B41232"/>
    <w:rsid w:val="00B52196"/>
    <w:rsid w:val="00B8495D"/>
    <w:rsid w:val="00B9678E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177B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56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5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Wiola</cp:lastModifiedBy>
  <cp:revision>2</cp:revision>
  <cp:lastPrinted>2024-06-17T15:13:00Z</cp:lastPrinted>
  <dcterms:created xsi:type="dcterms:W3CDTF">2025-09-24T13:10:00Z</dcterms:created>
  <dcterms:modified xsi:type="dcterms:W3CDTF">2025-09-24T13:10:00Z</dcterms:modified>
  <dc:language>pl-PL</dc:language>
</cp:coreProperties>
</file>